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2" w:rsidRPr="00735AC2" w:rsidRDefault="00735AC2" w:rsidP="00735AC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AC2">
        <w:rPr>
          <w:rFonts w:ascii="Times New Roman" w:hAnsi="Times New Roman"/>
          <w:sz w:val="32"/>
          <w:szCs w:val="32"/>
        </w:rPr>
        <w:t>Тревожная кнопка</w:t>
      </w:r>
    </w:p>
    <w:p w:rsidR="00735AC2" w:rsidRPr="00735AC2" w:rsidRDefault="00735AC2" w:rsidP="00735AC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35AC2" w:rsidRPr="00735AC2" w:rsidRDefault="00735AC2" w:rsidP="00735AC2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735A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целях улучшения качества жизни пожилых людей, повышения степени их социальной защищённости</w:t>
      </w:r>
      <w:r w:rsidRPr="00735AC2">
        <w:rPr>
          <w:rFonts w:ascii="Times New Roman" w:hAnsi="Times New Roman"/>
          <w:i/>
          <w:sz w:val="28"/>
          <w:szCs w:val="28"/>
        </w:rPr>
        <w:t xml:space="preserve"> в муниципальном бюджетном учреждении Верхнедонского района «Центр социального обслуживания граждан пожилого возраста и </w:t>
      </w:r>
      <w:proofErr w:type="gramStart"/>
      <w:r w:rsidRPr="00735AC2">
        <w:rPr>
          <w:rFonts w:ascii="Times New Roman" w:hAnsi="Times New Roman"/>
          <w:i/>
          <w:sz w:val="28"/>
          <w:szCs w:val="28"/>
        </w:rPr>
        <w:t>инвалидов»  на</w:t>
      </w:r>
      <w:proofErr w:type="gramEnd"/>
      <w:r w:rsidRPr="00735AC2">
        <w:rPr>
          <w:rFonts w:ascii="Times New Roman" w:hAnsi="Times New Roman"/>
          <w:i/>
          <w:sz w:val="28"/>
          <w:szCs w:val="28"/>
        </w:rPr>
        <w:t xml:space="preserve"> базе отделений социального обслуживания на дому проведено</w:t>
      </w:r>
      <w:r w:rsidRPr="00735A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мероприятие: «Внедрение услуги </w:t>
      </w:r>
      <w:r w:rsidRPr="00735AC2">
        <w:rPr>
          <w:rFonts w:ascii="Times New Roman" w:hAnsi="Times New Roman"/>
          <w:i/>
          <w:sz w:val="28"/>
          <w:szCs w:val="28"/>
        </w:rPr>
        <w:t>экстренного вызова социального работника по системе «тревожная кнопка».</w:t>
      </w:r>
    </w:p>
    <w:p w:rsidR="00735AC2" w:rsidRPr="00735AC2" w:rsidRDefault="00735AC2" w:rsidP="00735AC2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735AC2">
        <w:rPr>
          <w:rFonts w:ascii="Times New Roman" w:hAnsi="Times New Roman"/>
          <w:i/>
          <w:sz w:val="28"/>
          <w:szCs w:val="28"/>
        </w:rPr>
        <w:t xml:space="preserve">Тревожная кнопка – это круглосуточная мобильная связь, которая производится путем </w:t>
      </w:r>
      <w:proofErr w:type="gramStart"/>
      <w:r w:rsidRPr="00735AC2">
        <w:rPr>
          <w:rFonts w:ascii="Times New Roman" w:hAnsi="Times New Roman"/>
          <w:i/>
          <w:sz w:val="28"/>
          <w:szCs w:val="28"/>
        </w:rPr>
        <w:t>нажатия  любой</w:t>
      </w:r>
      <w:proofErr w:type="gramEnd"/>
      <w:r w:rsidRPr="00735AC2">
        <w:rPr>
          <w:rFonts w:ascii="Times New Roman" w:hAnsi="Times New Roman"/>
          <w:i/>
          <w:sz w:val="28"/>
          <w:szCs w:val="28"/>
        </w:rPr>
        <w:t xml:space="preserve"> кнопки мобильного телефона, на которых запрограммирован автоматический набор номера телефона социального работника.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696"/>
        <w:gridCol w:w="2659"/>
      </w:tblGrid>
      <w:tr w:rsidR="00735AC2" w:rsidRPr="00B62937" w:rsidTr="004539F9">
        <w:tc>
          <w:tcPr>
            <w:tcW w:w="6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35AC2" w:rsidRPr="00B62937" w:rsidRDefault="00735AC2" w:rsidP="004539F9">
            <w:pPr>
              <w:spacing w:after="0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  <w:r w:rsidRPr="00B62937">
              <w:rPr>
                <w:rFonts w:ascii="Times New Roman" w:hAnsi="Times New Roman"/>
                <w:b/>
                <w:bCs/>
                <w:i/>
                <w:noProof/>
                <w:color w:val="365F91"/>
                <w:sz w:val="28"/>
                <w:szCs w:val="28"/>
                <w:lang w:eastAsia="ru-RU"/>
              </w:rPr>
              <w:drawing>
                <wp:inline distT="0" distB="0" distL="0" distR="0">
                  <wp:extent cx="4105275" cy="3400425"/>
                  <wp:effectExtent l="0" t="0" r="9525" b="9525"/>
                  <wp:docPr id="1" name="Рисунок 1" descr="IMG_0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35AC2" w:rsidRPr="00735AC2" w:rsidRDefault="00735AC2" w:rsidP="004539F9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AC2">
              <w:rPr>
                <w:rFonts w:ascii="Times New Roman" w:hAnsi="Times New Roman"/>
                <w:bCs/>
                <w:sz w:val="28"/>
                <w:szCs w:val="28"/>
              </w:rPr>
              <w:t xml:space="preserve">Услуга «тревожная кнопка» предоставляется одиноко проживающим пенсионерам, достигшим 75 лет, одиноко проживающим инвалидам </w:t>
            </w:r>
            <w:proofErr w:type="gramStart"/>
            <w:r w:rsidRPr="00735AC2">
              <w:rPr>
                <w:rFonts w:ascii="Times New Roman" w:hAnsi="Times New Roman"/>
                <w:bCs/>
                <w:sz w:val="28"/>
                <w:szCs w:val="28"/>
              </w:rPr>
              <w:t>первой  и</w:t>
            </w:r>
            <w:proofErr w:type="gramEnd"/>
            <w:r w:rsidRPr="00735AC2">
              <w:rPr>
                <w:rFonts w:ascii="Times New Roman" w:hAnsi="Times New Roman"/>
                <w:bCs/>
                <w:sz w:val="28"/>
                <w:szCs w:val="28"/>
              </w:rPr>
              <w:t xml:space="preserve"> второй группы.</w:t>
            </w:r>
          </w:p>
          <w:p w:rsidR="00735AC2" w:rsidRPr="00B62937" w:rsidRDefault="00735AC2" w:rsidP="004539F9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35AC2">
              <w:rPr>
                <w:rFonts w:ascii="Times New Roman" w:hAnsi="Times New Roman"/>
                <w:bCs/>
                <w:sz w:val="28"/>
                <w:szCs w:val="28"/>
              </w:rPr>
              <w:t>Данная услуга позволяет получателю социальных услуг нажатием одной кнопки в любое время</w:t>
            </w:r>
            <w:r w:rsidRPr="00B629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735AC2" w:rsidRPr="00735AC2" w:rsidRDefault="00735AC2" w:rsidP="00735AC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35AC2">
        <w:rPr>
          <w:rFonts w:ascii="Times New Roman" w:hAnsi="Times New Roman"/>
          <w:bCs/>
          <w:sz w:val="28"/>
          <w:szCs w:val="28"/>
        </w:rPr>
        <w:t>связаться с социальным работником и получить</w:t>
      </w:r>
      <w:r w:rsidRPr="00735AC2">
        <w:rPr>
          <w:rFonts w:ascii="Times New Roman" w:hAnsi="Times New Roman"/>
          <w:sz w:val="28"/>
          <w:szCs w:val="28"/>
        </w:rPr>
        <w:t xml:space="preserve"> помощь 24 часа в сутки в случае резкого ухудшения </w:t>
      </w:r>
      <w:proofErr w:type="gramStart"/>
      <w:r w:rsidRPr="00735AC2">
        <w:rPr>
          <w:rFonts w:ascii="Times New Roman" w:hAnsi="Times New Roman"/>
          <w:sz w:val="28"/>
          <w:szCs w:val="28"/>
        </w:rPr>
        <w:t>здоровья,  проникновения</w:t>
      </w:r>
      <w:proofErr w:type="gramEnd"/>
      <w:r w:rsidRPr="00735AC2">
        <w:rPr>
          <w:rFonts w:ascii="Times New Roman" w:hAnsi="Times New Roman"/>
          <w:sz w:val="28"/>
          <w:szCs w:val="28"/>
        </w:rPr>
        <w:t xml:space="preserve"> посторонних (подозрительных) лиц в жилое помещение, мошенничества по отношению к получателю социальных услуг, аварийных ситуаций в жилом помещении  и иных бедствий, которые могут повлечь за собой нарушение условий жизнедеятельности человека, ущерб здоровью.</w:t>
      </w:r>
    </w:p>
    <w:p w:rsidR="00735AC2" w:rsidRPr="00735AC2" w:rsidRDefault="00735AC2" w:rsidP="00735AC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35AC2">
        <w:rPr>
          <w:rFonts w:ascii="Times New Roman" w:hAnsi="Times New Roman"/>
          <w:sz w:val="28"/>
          <w:szCs w:val="28"/>
        </w:rPr>
        <w:t xml:space="preserve">При поступлении звонка получателя социальных услуг, социальный работник оценивает сложившуюся ситуацию и делает вызов в специальные службы: скорая медицинская </w:t>
      </w:r>
      <w:proofErr w:type="gramStart"/>
      <w:r w:rsidRPr="00735AC2">
        <w:rPr>
          <w:rFonts w:ascii="Times New Roman" w:hAnsi="Times New Roman"/>
          <w:sz w:val="28"/>
          <w:szCs w:val="28"/>
        </w:rPr>
        <w:t>помощь,  полиция</w:t>
      </w:r>
      <w:proofErr w:type="gramEnd"/>
      <w:r w:rsidRPr="00735AC2">
        <w:rPr>
          <w:rFonts w:ascii="Times New Roman" w:hAnsi="Times New Roman"/>
          <w:sz w:val="28"/>
          <w:szCs w:val="28"/>
        </w:rPr>
        <w:t>, пожарная</w:t>
      </w:r>
      <w:r w:rsidRPr="00E564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1C51">
        <w:rPr>
          <w:rFonts w:ascii="Times New Roman" w:hAnsi="Times New Roman"/>
          <w:sz w:val="28"/>
          <w:szCs w:val="28"/>
        </w:rPr>
        <w:t>часть,</w:t>
      </w:r>
      <w:r w:rsidRPr="00E5645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35AC2">
        <w:rPr>
          <w:rFonts w:ascii="Times New Roman" w:hAnsi="Times New Roman"/>
          <w:sz w:val="28"/>
          <w:szCs w:val="28"/>
        </w:rPr>
        <w:lastRenderedPageBreak/>
        <w:t>газоспасательная служба, аварийная служба ЖКХ, аварийная служба электросети, МЧС.</w:t>
      </w:r>
    </w:p>
    <w:p w:rsidR="00735AC2" w:rsidRPr="00735AC2" w:rsidRDefault="00735AC2" w:rsidP="00735AC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35AC2">
        <w:rPr>
          <w:rFonts w:ascii="Times New Roman" w:hAnsi="Times New Roman"/>
          <w:sz w:val="28"/>
          <w:szCs w:val="28"/>
        </w:rPr>
        <w:t xml:space="preserve">С августа 2016 года, учреждение бесплатно </w:t>
      </w:r>
      <w:proofErr w:type="gramStart"/>
      <w:r w:rsidRPr="00735AC2">
        <w:rPr>
          <w:rFonts w:ascii="Times New Roman" w:hAnsi="Times New Roman"/>
          <w:sz w:val="28"/>
          <w:szCs w:val="28"/>
        </w:rPr>
        <w:t>предоставляет  данную</w:t>
      </w:r>
      <w:proofErr w:type="gramEnd"/>
      <w:r w:rsidRPr="00735AC2">
        <w:rPr>
          <w:rFonts w:ascii="Times New Roman" w:hAnsi="Times New Roman"/>
          <w:sz w:val="28"/>
          <w:szCs w:val="28"/>
        </w:rPr>
        <w:t xml:space="preserve"> услугу получателям социальных услуг. На сегодняшний день 60 человек подали заявление на получение услуги «Тревожная кнопка», все получатели социальных услуг неоднократно уже воспользовались ею. </w:t>
      </w:r>
    </w:p>
    <w:p w:rsidR="00153975" w:rsidRPr="00735AC2" w:rsidRDefault="00153975">
      <w:bookmarkStart w:id="0" w:name="_GoBack"/>
      <w:bookmarkEnd w:id="0"/>
    </w:p>
    <w:sectPr w:rsidR="00153975" w:rsidRPr="0073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8"/>
    <w:rsid w:val="00153975"/>
    <w:rsid w:val="00615FF8"/>
    <w:rsid w:val="00735AC2"/>
    <w:rsid w:val="00A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8B96"/>
  <w15:chartTrackingRefBased/>
  <w15:docId w15:val="{9E4AC822-F290-4746-AE3A-DBF72DC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C2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2020-01-16T11:39:00Z</dcterms:created>
  <dcterms:modified xsi:type="dcterms:W3CDTF">2020-01-16T11:58:00Z</dcterms:modified>
</cp:coreProperties>
</file>